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92" w:rsidRPr="00B23492" w:rsidRDefault="00B23492" w:rsidP="00B23492">
      <w:pPr>
        <w:shd w:val="clear" w:color="auto" w:fill="FFFFFF"/>
        <w:spacing w:after="300" w:line="360" w:lineRule="atLeast"/>
        <w:jc w:val="center"/>
        <w:textAlignment w:val="baseline"/>
        <w:rPr>
          <w:rFonts w:eastAsia="Times New Roman" w:cstheme="minorHAnsi"/>
          <w:b/>
          <w:color w:val="414141"/>
          <w:sz w:val="24"/>
          <w:szCs w:val="24"/>
          <w:lang w:eastAsia="ru-RU"/>
        </w:rPr>
      </w:pPr>
      <w:bookmarkStart w:id="0" w:name="_GoBack"/>
      <w:r w:rsidRPr="00B23492">
        <w:rPr>
          <w:rFonts w:eastAsia="Times New Roman" w:cstheme="minorHAnsi"/>
          <w:b/>
          <w:color w:val="414141"/>
          <w:sz w:val="24"/>
          <w:szCs w:val="24"/>
          <w:lang w:eastAsia="ru-RU"/>
        </w:rPr>
        <w:t xml:space="preserve">Документы, которые нужно приложить для возмещения расходов </w:t>
      </w:r>
      <w:r>
        <w:rPr>
          <w:rFonts w:eastAsia="Times New Roman" w:cstheme="minorHAnsi"/>
          <w:b/>
          <w:color w:val="414141"/>
          <w:sz w:val="24"/>
          <w:szCs w:val="24"/>
          <w:lang w:eastAsia="ru-RU"/>
        </w:rPr>
        <w:br/>
      </w:r>
      <w:r w:rsidRPr="00B23492">
        <w:rPr>
          <w:rFonts w:eastAsia="Times New Roman" w:cstheme="minorHAnsi"/>
          <w:b/>
          <w:color w:val="414141"/>
          <w:sz w:val="24"/>
          <w:szCs w:val="24"/>
          <w:lang w:eastAsia="ru-RU"/>
        </w:rPr>
        <w:t>на мероприятия по охране труда</w:t>
      </w:r>
    </w:p>
    <w:tbl>
      <w:tblPr>
        <w:tblW w:w="477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638"/>
      </w:tblGrid>
      <w:tr w:rsidR="00B23492" w:rsidRPr="00B23492" w:rsidTr="00B23492">
        <w:trPr>
          <w:tblHeader/>
        </w:trPr>
        <w:tc>
          <w:tcPr>
            <w:tcW w:w="20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bookmarkEnd w:id="0"/>
          <w:p w:rsidR="00B23492" w:rsidRPr="00B23492" w:rsidRDefault="00B23492" w:rsidP="00B23492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b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b/>
                <w:color w:val="41414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b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b/>
                <w:color w:val="414141"/>
                <w:sz w:val="24"/>
                <w:szCs w:val="24"/>
                <w:lang w:eastAsia="ru-RU"/>
              </w:rPr>
              <w:t>Документы</w:t>
            </w:r>
          </w:p>
        </w:tc>
      </w:tr>
      <w:tr w:rsidR="00B23492" w:rsidRPr="00B23492" w:rsidTr="00B23492">
        <w:tc>
          <w:tcPr>
            <w:tcW w:w="20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Проведение СОУТ</w:t>
            </w:r>
          </w:p>
        </w:tc>
        <w:tc>
          <w:tcPr>
            <w:tcW w:w="29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pStyle w:val="a5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копия </w:t>
            </w:r>
            <w:hyperlink r:id="rId5" w:anchor="/document/118/28600/" w:history="1">
              <w:r w:rsidRPr="00B23492">
                <w:rPr>
                  <w:rFonts w:eastAsia="Times New Roman" w:cstheme="minorHAnsi"/>
                  <w:color w:val="41414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приказа о создании комиссии по </w:t>
              </w:r>
              <w:proofErr w:type="spellStart"/>
              <w:r w:rsidRPr="00B23492">
                <w:rPr>
                  <w:rFonts w:eastAsia="Times New Roman" w:cstheme="minorHAnsi"/>
                  <w:color w:val="414141"/>
                  <w:sz w:val="24"/>
                  <w:szCs w:val="24"/>
                  <w:bdr w:val="none" w:sz="0" w:space="0" w:color="auto" w:frame="1"/>
                  <w:lang w:eastAsia="ru-RU"/>
                </w:rPr>
                <w:t>спецоценке</w:t>
              </w:r>
              <w:proofErr w:type="spellEnd"/>
            </w:hyperlink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17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копия договора с организацией, которая будет проводить </w:t>
            </w:r>
            <w:proofErr w:type="spellStart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спецоценку</w:t>
            </w:r>
            <w:proofErr w:type="spellEnd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, с указанием количества оцениваемых рабочих мест и стоимости </w:t>
            </w:r>
            <w:proofErr w:type="spellStart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спецоценки</w:t>
            </w:r>
            <w:proofErr w:type="spellEnd"/>
          </w:p>
          <w:p w:rsidR="00B23492" w:rsidRPr="00B23492" w:rsidRDefault="00B23492" w:rsidP="00B23492">
            <w:pPr>
              <w:pStyle w:val="a5"/>
              <w:numPr>
                <w:ilvl w:val="0"/>
                <w:numId w:val="17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платёжное поручение;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17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акт выполненных работ;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17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копию титульного листа отчета о проведении СОУТ;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17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сводная ведомость по результатам проведения СОУТ;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17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перечень рабочих мест, на которых проводилась СОУТ в формате </w:t>
            </w:r>
            <w:proofErr w:type="spellStart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excel</w:t>
            </w:r>
            <w:proofErr w:type="spellEnd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.</w:t>
            </w:r>
          </w:p>
        </w:tc>
      </w:tr>
      <w:tr w:rsidR="00B23492" w:rsidRPr="00B23492" w:rsidTr="00B23492">
        <w:tc>
          <w:tcPr>
            <w:tcW w:w="20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Снижение уровня вредных факторов</w:t>
            </w:r>
          </w:p>
        </w:tc>
        <w:tc>
          <w:tcPr>
            <w:tcW w:w="29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pStyle w:val="a5"/>
              <w:numPr>
                <w:ilvl w:val="0"/>
                <w:numId w:val="18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копия </w:t>
            </w:r>
            <w:hyperlink r:id="rId6" w:anchor="/document/118/50738/" w:history="1">
              <w:r w:rsidRPr="00B23492">
                <w:rPr>
                  <w:rFonts w:eastAsia="Times New Roman" w:cstheme="minorHAnsi"/>
                  <w:color w:val="41414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отчета о </w:t>
              </w:r>
              <w:proofErr w:type="spellStart"/>
              <w:r w:rsidRPr="00B23492">
                <w:rPr>
                  <w:rFonts w:eastAsia="Times New Roman" w:cstheme="minorHAnsi"/>
                  <w:color w:val="414141"/>
                  <w:sz w:val="24"/>
                  <w:szCs w:val="24"/>
                  <w:bdr w:val="none" w:sz="0" w:space="0" w:color="auto" w:frame="1"/>
                  <w:lang w:eastAsia="ru-RU"/>
                </w:rPr>
                <w:t>спецоценке</w:t>
              </w:r>
              <w:proofErr w:type="spellEnd"/>
            </w:hyperlink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, которая подтверждает, что на рабочих местах работников уровень вредных или опасных факторов превышает норму;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18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копия </w:t>
            </w:r>
            <w:hyperlink r:id="rId7" w:anchor="/document/118/50738/" w:history="1">
              <w:r w:rsidRPr="00B23492">
                <w:rPr>
                  <w:rFonts w:eastAsia="Times New Roman" w:cstheme="minorHAnsi"/>
                  <w:color w:val="41414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отчета о </w:t>
              </w:r>
              <w:proofErr w:type="spellStart"/>
              <w:r w:rsidRPr="00B23492">
                <w:rPr>
                  <w:rFonts w:eastAsia="Times New Roman" w:cstheme="minorHAnsi"/>
                  <w:color w:val="414141"/>
                  <w:sz w:val="24"/>
                  <w:szCs w:val="24"/>
                  <w:bdr w:val="none" w:sz="0" w:space="0" w:color="auto" w:frame="1"/>
                  <w:lang w:eastAsia="ru-RU"/>
                </w:rPr>
                <w:t>спецоценке</w:t>
              </w:r>
              <w:proofErr w:type="spellEnd"/>
            </w:hyperlink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, которую провели после мероприятия по снижению уровня вредных факторов и которая подтверждает, что класс или подкласс условий труда на рабочих местах был снижен;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18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копии документов о приобретении оборудования или о проведении работ для снижения воздействия вредных и опасных факторов;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18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если запланированы мероприятия, не требующие приобретения оборудования, – копия договора на проведение таких работ.</w:t>
            </w:r>
          </w:p>
        </w:tc>
      </w:tr>
      <w:tr w:rsidR="00B23492" w:rsidRPr="00B23492" w:rsidTr="00B23492">
        <w:tc>
          <w:tcPr>
            <w:tcW w:w="20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Обучение охране труда руководителей и работников малого бизнеса, руководителей госучреждений, специалистов и уполномоченных по охране труда, членов комиссий по охране труда</w:t>
            </w:r>
          </w:p>
        </w:tc>
        <w:tc>
          <w:tcPr>
            <w:tcW w:w="29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pStyle w:val="a5"/>
              <w:numPr>
                <w:ilvl w:val="0"/>
                <w:numId w:val="19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копия </w:t>
            </w:r>
            <w:hyperlink r:id="rId8" w:anchor="/document/118/28335/" w:history="1">
              <w:r w:rsidRPr="00B23492">
                <w:rPr>
                  <w:rFonts w:eastAsia="Times New Roman" w:cstheme="minorHAnsi"/>
                  <w:color w:val="414141"/>
                  <w:sz w:val="24"/>
                  <w:szCs w:val="24"/>
                  <w:bdr w:val="none" w:sz="0" w:space="0" w:color="auto" w:frame="1"/>
                  <w:lang w:eastAsia="ru-RU"/>
                </w:rPr>
                <w:t>приказа о направлении работников на обучение</w:t>
              </w:r>
            </w:hyperlink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19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hyperlink r:id="rId9" w:anchor="/document/118/28382/" w:history="1">
              <w:r w:rsidRPr="00B23492">
                <w:rPr>
                  <w:rFonts w:eastAsia="Times New Roman" w:cstheme="minorHAnsi"/>
                  <w:color w:val="414141"/>
                  <w:sz w:val="24"/>
                  <w:szCs w:val="24"/>
                  <w:bdr w:val="none" w:sz="0" w:space="0" w:color="auto" w:frame="1"/>
                  <w:lang w:eastAsia="ru-RU"/>
                </w:rPr>
                <w:t>список работников, направляемых на обучение</w:t>
              </w:r>
            </w:hyperlink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19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копия договора с обучающей организацией;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19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копия уведомления Минтруда о включении обучающей организации в реестр организаций, оказывающих услуги в области охраны труда;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19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копия программы обучения;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19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hyperlink r:id="rId10" w:anchor="/document/16/112818/dfasgdp4xw/" w:history="1">
              <w:r w:rsidRPr="00B23492">
                <w:rPr>
                  <w:rFonts w:eastAsia="Times New Roman" w:cstheme="minorHAnsi"/>
                  <w:color w:val="414141"/>
                  <w:sz w:val="24"/>
                  <w:szCs w:val="24"/>
                  <w:bdr w:val="none" w:sz="0" w:space="0" w:color="auto" w:frame="1"/>
                  <w:lang w:eastAsia="ru-RU"/>
                </w:rPr>
                <w:t>документы работников, подтверждающие, что они занимают должности, которые могут обучаться за счет ФСС</w:t>
              </w:r>
            </w:hyperlink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19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платежное поручение;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19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копии полученных удостоверений (сертификатов);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19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акт выполненных работ.</w:t>
            </w:r>
          </w:p>
        </w:tc>
      </w:tr>
      <w:tr w:rsidR="00B23492" w:rsidRPr="00B23492" w:rsidTr="00B23492">
        <w:tc>
          <w:tcPr>
            <w:tcW w:w="20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lastRenderedPageBreak/>
              <w:t>Приобретение СИЗ</w:t>
            </w:r>
          </w:p>
        </w:tc>
        <w:tc>
          <w:tcPr>
            <w:tcW w:w="29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pStyle w:val="a5"/>
              <w:numPr>
                <w:ilvl w:val="0"/>
                <w:numId w:val="20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справка о фактически произведенных расходах на приобретение СИЗ (в счет страховых взносов);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0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перечень приобретаемых СИЗ с указанием профессий, должностей работников, норм выдачи СИЗ со ссылкой на соответствующий пункт типовых норм, а также количества, стоимости, даты изготовления и срока годности приобретаемых СИЗ;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0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платежное поручение;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0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товарная накладная или универсальный передаточный документ;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0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копии </w:t>
            </w:r>
            <w:hyperlink r:id="rId11" w:anchor="/document/97/39109/dfas054nqx/" w:history="1">
              <w:r w:rsidRPr="00B23492">
                <w:rPr>
                  <w:rFonts w:eastAsia="Times New Roman" w:cstheme="minorHAnsi"/>
                  <w:color w:val="414141"/>
                  <w:sz w:val="24"/>
                  <w:szCs w:val="24"/>
                  <w:bdr w:val="none" w:sz="0" w:space="0" w:color="auto" w:frame="1"/>
                  <w:lang w:eastAsia="ru-RU"/>
                </w:rPr>
                <w:t>сертификатов (деклараций) соответствия СИЗ</w:t>
              </w:r>
            </w:hyperlink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 техническому регламенту Таможенного союза «О безопасности средств индивидуальной защиты» (ТР ТС 019/2011);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0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копия заключения о подтверждении производства промышленной продукции на территории Российской Федерации, выданного </w:t>
            </w:r>
            <w:proofErr w:type="spellStart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Минпромторгом</w:t>
            </w:r>
            <w:proofErr w:type="spellEnd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 в отношении СИЗ;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0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копия декларации о происхождении товара или сертификата о происхождении товара – для СИЗ, изготовленных на территории других государств – членов Евразийского экономического союза;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0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карточки учета выдачи СИЗ (2-3 штуки).</w:t>
            </w:r>
          </w:p>
        </w:tc>
      </w:tr>
      <w:tr w:rsidR="00B23492" w:rsidRPr="00B23492" w:rsidTr="00B23492">
        <w:tc>
          <w:tcPr>
            <w:tcW w:w="20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Санаторно-курортное лечение работников</w:t>
            </w:r>
          </w:p>
        </w:tc>
        <w:tc>
          <w:tcPr>
            <w:tcW w:w="29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pStyle w:val="a5"/>
              <w:numPr>
                <w:ilvl w:val="0"/>
                <w:numId w:val="21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hyperlink r:id="rId12" w:anchor="/document/118/84829/" w:history="1">
              <w:r w:rsidRPr="00B23492">
                <w:rPr>
                  <w:rFonts w:eastAsia="Times New Roman" w:cstheme="minorHAnsi"/>
                  <w:color w:val="414141"/>
                  <w:sz w:val="24"/>
                  <w:szCs w:val="24"/>
                  <w:bdr w:val="none" w:sz="0" w:space="0" w:color="auto" w:frame="1"/>
                  <w:lang w:eastAsia="ru-RU"/>
                </w:rPr>
                <w:t>Заключительный акт врачебной комиссии по итогам периодических медосмотров работников</w:t>
              </w:r>
            </w:hyperlink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1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списки сотрудников, направляемых на лечение, с указанием рекомендаций;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1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копия лицензии санатория;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1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копии договоров на покупку путевок;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1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обратные талоны;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1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калькуляция стоимости путевок.</w:t>
            </w:r>
          </w:p>
          <w:p w:rsidR="00B23492" w:rsidRPr="00B23492" w:rsidRDefault="00B23492" w:rsidP="00B23492">
            <w:pPr>
              <w:spacing w:after="30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lastRenderedPageBreak/>
              <w:t xml:space="preserve">Для возмещения затрат на санаторно-курортное лечение </w:t>
            </w:r>
            <w:proofErr w:type="spellStart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предпенсионеров</w:t>
            </w:r>
            <w:proofErr w:type="spellEnd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 дополнительно нужно представить: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2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копию справки для получения путевки на санаторно-курортное лечение по </w:t>
            </w:r>
            <w:hyperlink r:id="rId13" w:anchor="/document/99/420245402/" w:history="1">
              <w:r w:rsidRPr="00B23492">
                <w:rPr>
                  <w:rFonts w:eastAsia="Times New Roman" w:cstheme="minorHAnsi"/>
                  <w:color w:val="414141"/>
                  <w:sz w:val="24"/>
                  <w:szCs w:val="24"/>
                  <w:bdr w:val="none" w:sz="0" w:space="0" w:color="auto" w:frame="1"/>
                  <w:lang w:eastAsia="ru-RU"/>
                </w:rPr>
                <w:t>форме № 070/у</w:t>
              </w:r>
            </w:hyperlink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, если отсутствует заключительный акт;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2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списки работников, которых направляют на санаторно-курортное лечение, с указанием рекомендаций из справки по </w:t>
            </w:r>
            <w:hyperlink r:id="rId14" w:anchor="/document/99/420245402/" w:history="1">
              <w:r w:rsidRPr="00B23492">
                <w:rPr>
                  <w:rFonts w:eastAsia="Times New Roman" w:cstheme="minorHAnsi"/>
                  <w:color w:val="414141"/>
                  <w:sz w:val="24"/>
                  <w:szCs w:val="24"/>
                  <w:bdr w:val="none" w:sz="0" w:space="0" w:color="auto" w:frame="1"/>
                  <w:lang w:eastAsia="ru-RU"/>
                </w:rPr>
                <w:t>форме № 070у</w:t>
              </w:r>
            </w:hyperlink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, если отсутствует заключительный акт;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2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копию документа, удостоверяющего личность работника, направляемого на санаторно-курортное лечение;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2"/>
              </w:num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письменное согласие работника, которого направляют на санаторно-курортное лечение, на обработку его персональных данных.</w:t>
            </w:r>
          </w:p>
        </w:tc>
      </w:tr>
      <w:tr w:rsidR="00B23492" w:rsidRPr="00B23492" w:rsidTr="00B23492">
        <w:tc>
          <w:tcPr>
            <w:tcW w:w="20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lastRenderedPageBreak/>
              <w:t>Проведение периодических медосмотров</w:t>
            </w:r>
          </w:p>
        </w:tc>
        <w:tc>
          <w:tcPr>
            <w:tcW w:w="29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pStyle w:val="a5"/>
              <w:numPr>
                <w:ilvl w:val="0"/>
                <w:numId w:val="23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заключительный акт мед. учреждения (по результатам прохождения периодических медицинских осмотров);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копия </w:t>
            </w:r>
            <w:hyperlink r:id="rId15" w:anchor="/document/118/82410/" w:history="1">
              <w:r w:rsidRPr="00B23492">
                <w:rPr>
                  <w:rFonts w:eastAsia="Times New Roman" w:cstheme="minorHAnsi"/>
                  <w:color w:val="414141"/>
                  <w:sz w:val="24"/>
                  <w:szCs w:val="24"/>
                  <w:bdr w:val="none" w:sz="0" w:space="0" w:color="auto" w:frame="1"/>
                  <w:lang w:eastAsia="ru-RU"/>
                </w:rPr>
                <w:t>списка работников, подлежащих медосмотрам в текущем календарном году</w:t>
              </w:r>
            </w:hyperlink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3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копия договора с медучреждением;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3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сведения о лицензии медучреждения;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3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расчет стоимости услуг на проведение медосмотров;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3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платежное поручение;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3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акт выполненных работ.</w:t>
            </w:r>
          </w:p>
        </w:tc>
      </w:tr>
      <w:tr w:rsidR="00B23492" w:rsidRPr="00B23492" w:rsidTr="00B23492">
        <w:tc>
          <w:tcPr>
            <w:tcW w:w="20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Покупка лечебно-профилактического питания</w:t>
            </w:r>
          </w:p>
        </w:tc>
        <w:tc>
          <w:tcPr>
            <w:tcW w:w="29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pStyle w:val="a5"/>
              <w:numPr>
                <w:ilvl w:val="0"/>
                <w:numId w:val="24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перечень работников, которым выдают питание, с указанием основания (пункт перечня), профессий работников и норм выдачи;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4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номер рациона питания;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4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график занятости работников, которые имеют право получать профилактическое питание;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4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копии документов о времени, фактически отработанном во вредных условиях;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4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копии постатейных смет расходов, запланированных на покупку профилактического питания;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4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копии договоров страхователя с организациями общественного питания, если питание выдавали не в структурных подразделениях страхователя;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4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копии документов, подтверждающих затраты на покупку питания.</w:t>
            </w:r>
          </w:p>
        </w:tc>
      </w:tr>
      <w:tr w:rsidR="00B23492" w:rsidRPr="00B23492" w:rsidTr="00B23492">
        <w:tc>
          <w:tcPr>
            <w:tcW w:w="20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lastRenderedPageBreak/>
              <w:t xml:space="preserve">Покупка </w:t>
            </w:r>
            <w:proofErr w:type="spellStart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алкотестеров</w:t>
            </w:r>
            <w:proofErr w:type="spellEnd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предсменных</w:t>
            </w:r>
            <w:proofErr w:type="spellEnd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 медосмотров</w:t>
            </w:r>
          </w:p>
        </w:tc>
        <w:tc>
          <w:tcPr>
            <w:tcW w:w="29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pStyle w:val="a5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копия </w:t>
            </w:r>
            <w:hyperlink r:id="rId16" w:anchor="/document/118/99675/" w:history="1">
              <w:r w:rsidRPr="00B23492">
                <w:rPr>
                  <w:rFonts w:eastAsia="Times New Roman" w:cstheme="minorHAnsi"/>
                  <w:color w:val="41414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локального нормативного акта о проведении </w:t>
              </w:r>
              <w:proofErr w:type="spellStart"/>
              <w:r w:rsidRPr="00B23492">
                <w:rPr>
                  <w:rFonts w:eastAsia="Times New Roman" w:cstheme="minorHAnsi"/>
                  <w:color w:val="414141"/>
                  <w:sz w:val="24"/>
                  <w:szCs w:val="24"/>
                  <w:bdr w:val="none" w:sz="0" w:space="0" w:color="auto" w:frame="1"/>
                  <w:lang w:eastAsia="ru-RU"/>
                </w:rPr>
                <w:t>предсменных</w:t>
              </w:r>
              <w:proofErr w:type="spellEnd"/>
              <w:r w:rsidRPr="00B23492">
                <w:rPr>
                  <w:rFonts w:eastAsia="Times New Roman" w:cstheme="minorHAnsi"/>
                  <w:color w:val="41414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или </w:t>
              </w:r>
              <w:proofErr w:type="spellStart"/>
              <w:r w:rsidRPr="00B23492">
                <w:rPr>
                  <w:rFonts w:eastAsia="Times New Roman" w:cstheme="minorHAnsi"/>
                  <w:color w:val="414141"/>
                  <w:sz w:val="24"/>
                  <w:szCs w:val="24"/>
                  <w:bdr w:val="none" w:sz="0" w:space="0" w:color="auto" w:frame="1"/>
                  <w:lang w:eastAsia="ru-RU"/>
                </w:rPr>
                <w:t>предрейсовых</w:t>
              </w:r>
              <w:proofErr w:type="spellEnd"/>
              <w:r w:rsidRPr="00B23492">
                <w:rPr>
                  <w:rFonts w:eastAsia="Times New Roman" w:cstheme="minorHAnsi"/>
                  <w:color w:val="41414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медосмотров</w:t>
              </w:r>
            </w:hyperlink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5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копия лицензии на проведение медосмотров или договора с организацией, которая вправе проводить такие медосмотры (с приложением лицензии этой компании на право проведения медосмотров);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5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копии счетов на покупку </w:t>
            </w:r>
            <w:proofErr w:type="spellStart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алкотестеров</w:t>
            </w:r>
            <w:proofErr w:type="spellEnd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алкометров</w:t>
            </w:r>
            <w:proofErr w:type="spellEnd"/>
          </w:p>
        </w:tc>
      </w:tr>
      <w:tr w:rsidR="00B23492" w:rsidRPr="00B23492" w:rsidTr="00B23492">
        <w:tc>
          <w:tcPr>
            <w:tcW w:w="20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Покупка </w:t>
            </w:r>
            <w:proofErr w:type="spellStart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тахографов</w:t>
            </w:r>
            <w:proofErr w:type="spellEnd"/>
          </w:p>
        </w:tc>
        <w:tc>
          <w:tcPr>
            <w:tcW w:w="29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pStyle w:val="a5"/>
              <w:numPr>
                <w:ilvl w:val="0"/>
                <w:numId w:val="26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копии лицензий на право осуществлять перевозки и копии документов, подтверждающих соответствующий вид деятельности организации;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6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перечень транспортных средств (далее – ТС), которые нужно оснастить </w:t>
            </w:r>
            <w:proofErr w:type="spellStart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 (с указанием их регистрационных номеров, даты выпуска, сведений о прохождении техосмотра), копии паспортов ТС;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6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копия свидетельства о регистрации ТС в ГИБДД;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6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копии счетов на покупку приборов.</w:t>
            </w:r>
          </w:p>
        </w:tc>
      </w:tr>
      <w:tr w:rsidR="00B23492" w:rsidRPr="00B23492" w:rsidTr="00B23492">
        <w:tc>
          <w:tcPr>
            <w:tcW w:w="20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Покупка аптечек первой помощи</w:t>
            </w:r>
          </w:p>
        </w:tc>
        <w:tc>
          <w:tcPr>
            <w:tcW w:w="29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pStyle w:val="a5"/>
              <w:numPr>
                <w:ilvl w:val="0"/>
                <w:numId w:val="27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перечень приобретаемых медикаментов с указанием их количества, цены и санитарных постов, которые будут оснащены аптечками;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7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платежное поручение;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7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товарная накладная или универсальный передаточный документ.</w:t>
            </w:r>
          </w:p>
        </w:tc>
      </w:tr>
      <w:tr w:rsidR="00B23492" w:rsidRPr="00B23492" w:rsidTr="00B23492">
        <w:tc>
          <w:tcPr>
            <w:tcW w:w="20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Приобретение оборудования для обеспечения безопасности работников или контроля за безопасным ведением работ, а также для обучения, в том числе для дистанционного</w:t>
            </w:r>
          </w:p>
        </w:tc>
        <w:tc>
          <w:tcPr>
            <w:tcW w:w="29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pStyle w:val="a5"/>
              <w:numPr>
                <w:ilvl w:val="0"/>
                <w:numId w:val="28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копии документов, которые обосновывают приобретение оборудования;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8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копии </w:t>
            </w:r>
            <w:proofErr w:type="spellStart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техпроектов</w:t>
            </w:r>
            <w:proofErr w:type="spellEnd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 или проектной документации либо выписки из них, которыми предусмотрено приобретение оборудования для обеспечения безопасности работников или контроля за безопасным ведением работ;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8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сведения о лицензии на осуществление образовательной деятельности в случае приобретения оборудования для обучения, в том числе для дистанционного.</w:t>
            </w:r>
          </w:p>
        </w:tc>
      </w:tr>
      <w:tr w:rsidR="00B23492" w:rsidRPr="00B23492" w:rsidTr="00B23492">
        <w:tc>
          <w:tcPr>
            <w:tcW w:w="20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Приобретение одноразовых масок, респираторов и многоразовых тканых масок для защиты органов дыхания, а также щитков лицевых, бахил, перчаток, противочумных </w:t>
            </w: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lastRenderedPageBreak/>
              <w:t>костюмов 1 типа, одноразовых халатов</w:t>
            </w:r>
          </w:p>
        </w:tc>
        <w:tc>
          <w:tcPr>
            <w:tcW w:w="29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pStyle w:val="a5"/>
              <w:numPr>
                <w:ilvl w:val="0"/>
                <w:numId w:val="29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lastRenderedPageBreak/>
              <w:t>перечень приобретаемых СИЗ с указанием их количества, стоимости, даты изготовления и срока годности;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29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копии сертификатов или деклараций соответствия приобретаемых товаров или документы, которые подтверждают, что сертификация или декларирование не требуется</w:t>
            </w:r>
          </w:p>
        </w:tc>
      </w:tr>
      <w:tr w:rsidR="00B23492" w:rsidRPr="00B23492" w:rsidTr="00B23492">
        <w:tc>
          <w:tcPr>
            <w:tcW w:w="20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lastRenderedPageBreak/>
              <w:t>Приобретение дезинфицирующих салфеток и кожных антисептиков и дозаторов для них</w:t>
            </w:r>
          </w:p>
        </w:tc>
        <w:tc>
          <w:tcPr>
            <w:tcW w:w="29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pStyle w:val="a5"/>
              <w:numPr>
                <w:ilvl w:val="0"/>
                <w:numId w:val="30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дезсредств</w:t>
            </w:r>
            <w:proofErr w:type="spellEnd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 с указанием их количества, стоимости, даты изготовления и срока годности;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30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перечень дозаторов для обработки рук антисептиками с указанием мест их размещения;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30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копии сертификатов или деклараций соответствия приобретаемых товаров или документы, которые подтверждают, что сертификация или декларирование не требуется</w:t>
            </w:r>
          </w:p>
        </w:tc>
      </w:tr>
      <w:tr w:rsidR="00B23492" w:rsidRPr="00B23492" w:rsidTr="00B23492">
        <w:tc>
          <w:tcPr>
            <w:tcW w:w="20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Приобретение оборудования и устройств, в том числе </w:t>
            </w:r>
            <w:proofErr w:type="spellStart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рециркуляторов</w:t>
            </w:r>
            <w:proofErr w:type="spellEnd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 воздуха и дезинфицирующих средств для комплексной обработки транспортных средств, упаковки, продуктов, служебных помещений, контактных поверхностей</w:t>
            </w:r>
          </w:p>
        </w:tc>
        <w:tc>
          <w:tcPr>
            <w:tcW w:w="29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pStyle w:val="a5"/>
              <w:numPr>
                <w:ilvl w:val="0"/>
                <w:numId w:val="31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дезсредств</w:t>
            </w:r>
            <w:proofErr w:type="spellEnd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вирулицидного</w:t>
            </w:r>
            <w:proofErr w:type="spellEnd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 действия с указанием их количества, стоимости, даты изготовления и срока годности;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31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перечень оборудования, в том числе </w:t>
            </w:r>
            <w:proofErr w:type="spellStart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рециркуляторов</w:t>
            </w:r>
            <w:proofErr w:type="spellEnd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      </w:r>
            <w:proofErr w:type="spellStart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вирулицидного</w:t>
            </w:r>
            <w:proofErr w:type="spellEnd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 действия с указанием их количества и стоимости;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31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копии регистрационных удостоверений на приобретаемые </w:t>
            </w:r>
            <w:proofErr w:type="spellStart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рециркуляторы</w:t>
            </w:r>
            <w:proofErr w:type="spellEnd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 воздуха;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31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копии сертификатов или деклараций соответствия приобретаемых товаров, если приобретаемые дезинфицирующие средства </w:t>
            </w:r>
            <w:proofErr w:type="spellStart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вирулицидного</w:t>
            </w:r>
            <w:proofErr w:type="spellEnd"/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 xml:space="preserve"> действия подлежат обязательной сертификации и декларированию;</w:t>
            </w:r>
          </w:p>
        </w:tc>
      </w:tr>
      <w:tr w:rsidR="00B23492" w:rsidRPr="00B23492" w:rsidTr="00B23492">
        <w:tc>
          <w:tcPr>
            <w:tcW w:w="20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Приобретение термометров и устройств для бесконтактного контроля температуры работников</w:t>
            </w:r>
          </w:p>
        </w:tc>
        <w:tc>
          <w:tcPr>
            <w:tcW w:w="29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23492" w:rsidRPr="00B23492" w:rsidRDefault="00B23492" w:rsidP="00B23492">
            <w:pPr>
              <w:pStyle w:val="a5"/>
              <w:numPr>
                <w:ilvl w:val="0"/>
                <w:numId w:val="32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перечень оборудования для бесконтактного контроля температуры тела работника с указанием количества и стоимости, а также санитарных постов, которые укомплектованы ими;</w:t>
            </w:r>
          </w:p>
          <w:p w:rsidR="00B23492" w:rsidRPr="00B23492" w:rsidRDefault="00B23492" w:rsidP="00B23492">
            <w:pPr>
              <w:pStyle w:val="a5"/>
              <w:numPr>
                <w:ilvl w:val="0"/>
                <w:numId w:val="32"/>
              </w:numPr>
              <w:spacing w:after="225" w:line="240" w:lineRule="auto"/>
              <w:textAlignment w:val="baseline"/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</w:pPr>
            <w:r w:rsidRPr="00B23492">
              <w:rPr>
                <w:rFonts w:eastAsia="Times New Roman" w:cstheme="minorHAnsi"/>
                <w:color w:val="414141"/>
                <w:sz w:val="24"/>
                <w:szCs w:val="24"/>
                <w:lang w:eastAsia="ru-RU"/>
              </w:rPr>
              <w:t>копии сертификатов или деклараций соответствия приобретаемых товаров или документы, которые подтверждают, что сертификация или декларирование не требуется.</w:t>
            </w:r>
          </w:p>
        </w:tc>
      </w:tr>
    </w:tbl>
    <w:p w:rsidR="00302644" w:rsidRPr="00B23492" w:rsidRDefault="00302644">
      <w:pPr>
        <w:rPr>
          <w:rFonts w:cstheme="minorHAnsi"/>
          <w:sz w:val="24"/>
          <w:szCs w:val="24"/>
        </w:rPr>
      </w:pPr>
    </w:p>
    <w:sectPr w:rsidR="00302644" w:rsidRPr="00B23492" w:rsidSect="00B2349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128"/>
    <w:multiLevelType w:val="hybridMultilevel"/>
    <w:tmpl w:val="0B10B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D7B9A"/>
    <w:multiLevelType w:val="multilevel"/>
    <w:tmpl w:val="507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32188"/>
    <w:multiLevelType w:val="hybridMultilevel"/>
    <w:tmpl w:val="4380D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D0FE5"/>
    <w:multiLevelType w:val="hybridMultilevel"/>
    <w:tmpl w:val="E4B81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577BF"/>
    <w:multiLevelType w:val="multilevel"/>
    <w:tmpl w:val="743A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A7472B"/>
    <w:multiLevelType w:val="multilevel"/>
    <w:tmpl w:val="EAB6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162BA5"/>
    <w:multiLevelType w:val="hybridMultilevel"/>
    <w:tmpl w:val="045237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001335"/>
    <w:multiLevelType w:val="hybridMultilevel"/>
    <w:tmpl w:val="2DD809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BE32F1"/>
    <w:multiLevelType w:val="hybridMultilevel"/>
    <w:tmpl w:val="15FA8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52D93"/>
    <w:multiLevelType w:val="hybridMultilevel"/>
    <w:tmpl w:val="5CD26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706700"/>
    <w:multiLevelType w:val="multilevel"/>
    <w:tmpl w:val="5F54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D35A57"/>
    <w:multiLevelType w:val="multilevel"/>
    <w:tmpl w:val="F6B8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536955"/>
    <w:multiLevelType w:val="multilevel"/>
    <w:tmpl w:val="50E4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E173B4"/>
    <w:multiLevelType w:val="hybridMultilevel"/>
    <w:tmpl w:val="43404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933A08"/>
    <w:multiLevelType w:val="hybridMultilevel"/>
    <w:tmpl w:val="09F08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FA761D"/>
    <w:multiLevelType w:val="hybridMultilevel"/>
    <w:tmpl w:val="07324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774425"/>
    <w:multiLevelType w:val="multilevel"/>
    <w:tmpl w:val="288A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6E7ACA"/>
    <w:multiLevelType w:val="hybridMultilevel"/>
    <w:tmpl w:val="B86A6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1A2DF9"/>
    <w:multiLevelType w:val="multilevel"/>
    <w:tmpl w:val="AC0C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2F5083"/>
    <w:multiLevelType w:val="multilevel"/>
    <w:tmpl w:val="D4A4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78370E"/>
    <w:multiLevelType w:val="hybridMultilevel"/>
    <w:tmpl w:val="9BAA50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920E0"/>
    <w:multiLevelType w:val="multilevel"/>
    <w:tmpl w:val="BB40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3F761C"/>
    <w:multiLevelType w:val="hybridMultilevel"/>
    <w:tmpl w:val="9E7EE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325B0C"/>
    <w:multiLevelType w:val="hybridMultilevel"/>
    <w:tmpl w:val="6FA69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5F1741"/>
    <w:multiLevelType w:val="multilevel"/>
    <w:tmpl w:val="7C4C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0C0F04"/>
    <w:multiLevelType w:val="multilevel"/>
    <w:tmpl w:val="7AA0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345FB3"/>
    <w:multiLevelType w:val="hybridMultilevel"/>
    <w:tmpl w:val="49DE3E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822DED"/>
    <w:multiLevelType w:val="multilevel"/>
    <w:tmpl w:val="1A58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046CB3"/>
    <w:multiLevelType w:val="hybridMultilevel"/>
    <w:tmpl w:val="E1622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CC6AAF"/>
    <w:multiLevelType w:val="multilevel"/>
    <w:tmpl w:val="F2D8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D1973A6"/>
    <w:multiLevelType w:val="multilevel"/>
    <w:tmpl w:val="0CE0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1F2A11"/>
    <w:multiLevelType w:val="multilevel"/>
    <w:tmpl w:val="FF64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30"/>
  </w:num>
  <w:num w:numId="5">
    <w:abstractNumId w:val="16"/>
  </w:num>
  <w:num w:numId="6">
    <w:abstractNumId w:val="27"/>
  </w:num>
  <w:num w:numId="7">
    <w:abstractNumId w:val="25"/>
  </w:num>
  <w:num w:numId="8">
    <w:abstractNumId w:val="31"/>
  </w:num>
  <w:num w:numId="9">
    <w:abstractNumId w:val="21"/>
  </w:num>
  <w:num w:numId="10">
    <w:abstractNumId w:val="29"/>
  </w:num>
  <w:num w:numId="11">
    <w:abstractNumId w:val="12"/>
  </w:num>
  <w:num w:numId="12">
    <w:abstractNumId w:val="18"/>
  </w:num>
  <w:num w:numId="13">
    <w:abstractNumId w:val="4"/>
  </w:num>
  <w:num w:numId="14">
    <w:abstractNumId w:val="1"/>
  </w:num>
  <w:num w:numId="15">
    <w:abstractNumId w:val="24"/>
  </w:num>
  <w:num w:numId="16">
    <w:abstractNumId w:val="5"/>
  </w:num>
  <w:num w:numId="17">
    <w:abstractNumId w:val="13"/>
  </w:num>
  <w:num w:numId="18">
    <w:abstractNumId w:val="6"/>
  </w:num>
  <w:num w:numId="19">
    <w:abstractNumId w:val="20"/>
  </w:num>
  <w:num w:numId="20">
    <w:abstractNumId w:val="8"/>
  </w:num>
  <w:num w:numId="21">
    <w:abstractNumId w:val="17"/>
  </w:num>
  <w:num w:numId="22">
    <w:abstractNumId w:val="22"/>
  </w:num>
  <w:num w:numId="23">
    <w:abstractNumId w:val="3"/>
  </w:num>
  <w:num w:numId="24">
    <w:abstractNumId w:val="14"/>
  </w:num>
  <w:num w:numId="25">
    <w:abstractNumId w:val="9"/>
  </w:num>
  <w:num w:numId="26">
    <w:abstractNumId w:val="2"/>
  </w:num>
  <w:num w:numId="27">
    <w:abstractNumId w:val="28"/>
  </w:num>
  <w:num w:numId="28">
    <w:abstractNumId w:val="23"/>
  </w:num>
  <w:num w:numId="29">
    <w:abstractNumId w:val="0"/>
  </w:num>
  <w:num w:numId="30">
    <w:abstractNumId w:val="15"/>
  </w:num>
  <w:num w:numId="31">
    <w:abstractNumId w:val="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92"/>
    <w:rsid w:val="00302644"/>
    <w:rsid w:val="00B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6228"/>
  <w15:chartTrackingRefBased/>
  <w15:docId w15:val="{023F742E-A74A-458A-94BD-8259AFCB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34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2023-08-21T08:21:00Z</dcterms:created>
  <dcterms:modified xsi:type="dcterms:W3CDTF">2023-08-21T08:26:00Z</dcterms:modified>
</cp:coreProperties>
</file>